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Vendor registration form</w:t>
      </w:r>
    </w:p>
    <w:p>
      <w:r>
        <w:t>The vendor fills this form. It is not the buyer's internal onboarding checklist. Attach a cancelled cheque and copies of the GST certificate, PAN and Udyam certificate if you have 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Fill in</w:t>
            </w:r>
          </w:p>
        </w:tc>
      </w:tr>
      <w:tr>
        <w:tc>
          <w:tcPr>
            <w:tcW w:type="dxa" w:w="4320"/>
          </w:tcPr>
          <w:p>
            <w:r>
              <w:t>Legal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Trade name, if different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Constitution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Registered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Works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GSTIN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Udyam / MSME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Udyam category and activity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Bank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Account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IFSC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Cancelled cheque attached (Yes/No)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Contact name, mobile, 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Accounts contact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Certifications and expiry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Items or services offered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Typical lead time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Declarations</w:t>
      </w:r>
    </w:p>
    <w:p>
      <w:pPr>
        <w:pStyle w:val="ListBullet"/>
      </w:pPr>
      <w:r>
        <w:t>The GSTIN and PAN match the legal name.</w:t>
      </w:r>
    </w:p>
    <w:p>
      <w:pPr>
        <w:pStyle w:val="ListBullet"/>
      </w:pPr>
      <w:r>
        <w:t>The bank account is in the legal name.</w:t>
      </w:r>
    </w:p>
    <w:p>
      <w:pPr>
        <w:pStyle w:val="ListBullet"/>
      </w:pPr>
      <w:r>
        <w:t>The Udyam details are current, or the firm is not registered.</w:t>
      </w:r>
    </w:p>
    <w:p>
      <w:r>
        <w:t>Authorised signatory, designation, date and place: ________________________________</w:t>
      </w:r>
    </w:p>
    <w:p>
      <w:r>
        <w:t>Why the GSTIN line matters: a taxable supply of ₹1,00,000 at 18% GST carries ₹18,000 of tax. The buyer can claim that as input tax credit only when the supplier's GSTIN is on the invoice and on this record. 18% is an example. Confirm the rate for the actual HSN or SAC.</w:t>
      </w:r>
    </w:p>
    <w:p>
      <w:r>
        <w:t>Sample only. Not a government registration.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8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